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6216BD" w:rsidRDefault="00B15CB3" w:rsidP="006216BD">
      <w:pPr>
        <w:pStyle w:val="Ttulo1"/>
        <w:rPr>
          <w:noProof/>
          <w:lang w:eastAsia="es-AR"/>
        </w:rPr>
      </w:pPr>
      <w:r>
        <w:rPr>
          <w:noProof/>
          <w:lang w:eastAsia="es-AR"/>
        </w:rPr>
        <w:t>U</w:t>
      </w:r>
      <w:r w:rsidR="006216BD">
        <w:rPr>
          <w:noProof/>
          <w:lang w:eastAsia="es-AR"/>
        </w:rPr>
        <w:t>NIDAD DE DESARROLLO CURRICULAR Y FORMACIÓN DOCENTE</w:t>
      </w:r>
    </w:p>
    <w:p w:rsidR="006216BD" w:rsidRDefault="006216BD" w:rsidP="006216BD">
      <w:pPr>
        <w:jc w:val="center"/>
        <w:rPr>
          <w:rFonts w:ascii="Arial" w:hAnsi="Arial" w:cs="Arial"/>
          <w:b/>
          <w:noProof/>
          <w:color w:val="0F243E" w:themeColor="text2" w:themeShade="80"/>
          <w:sz w:val="28"/>
          <w:szCs w:val="28"/>
          <w:lang w:eastAsia="es-AR"/>
        </w:rPr>
      </w:pPr>
    </w:p>
    <w:p w:rsidR="006216BD" w:rsidRPr="00B3659A" w:rsidRDefault="006216BD" w:rsidP="006216BD">
      <w:pPr>
        <w:jc w:val="center"/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</w:pPr>
      <w:r w:rsidRPr="00B3659A"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  <w:t>PLAN DE ASIGNATURA</w:t>
      </w:r>
    </w:p>
    <w:p w:rsidR="006216BD" w:rsidRPr="0086312B" w:rsidRDefault="006216BD" w:rsidP="006216BD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750"/>
        <w:gridCol w:w="61"/>
        <w:gridCol w:w="746"/>
        <w:gridCol w:w="2246"/>
      </w:tblGrid>
      <w:tr w:rsidR="006216BD" w:rsidRPr="0086312B" w:rsidTr="00B15CB3">
        <w:tc>
          <w:tcPr>
            <w:tcW w:w="9054" w:type="dxa"/>
            <w:gridSpan w:val="7"/>
            <w:tcBorders>
              <w:bottom w:val="sing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DERECHO</w:t>
            </w:r>
          </w:p>
          <w:p w:rsidR="006216BD" w:rsidRPr="00A56481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6216BD" w:rsidRPr="0086312B" w:rsidTr="00B15CB3">
        <w:tc>
          <w:tcPr>
            <w:tcW w:w="9054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6216BD" w:rsidRDefault="006216BD" w:rsidP="00433F38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6216BD" w:rsidRPr="00C32202" w:rsidRDefault="006216BD" w:rsidP="00433F38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6216BD" w:rsidRPr="00A56481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6216BD" w:rsidRPr="0086312B" w:rsidTr="00B15CB3">
        <w:tc>
          <w:tcPr>
            <w:tcW w:w="300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  PRIVADO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216BD" w:rsidRPr="00C53FE2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V</w:t>
            </w:r>
          </w:p>
        </w:tc>
      </w:tr>
      <w:tr w:rsidR="006216BD" w:rsidRPr="0086312B" w:rsidTr="00B15CB3">
        <w:tc>
          <w:tcPr>
            <w:tcW w:w="9054" w:type="dxa"/>
            <w:gridSpan w:val="7"/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>DERECHO PROCESAL CIVIL</w:t>
            </w:r>
          </w:p>
          <w:p w:rsidR="006216BD" w:rsidRPr="00A56481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6216BD" w:rsidRPr="0086312B" w:rsidTr="00B15CB3">
        <w:tc>
          <w:tcPr>
            <w:tcW w:w="6062" w:type="dxa"/>
            <w:gridSpan w:val="5"/>
            <w:tcBorders>
              <w:right w:val="sing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6216BD" w:rsidRPr="0086312B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2992" w:type="dxa"/>
            <w:gridSpan w:val="2"/>
            <w:tcBorders>
              <w:left w:val="sing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6216BD" w:rsidRPr="0086312B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6216BD" w:rsidRPr="0086312B" w:rsidTr="00B15CB3">
        <w:tc>
          <w:tcPr>
            <w:tcW w:w="1710" w:type="dxa"/>
            <w:tcBorders>
              <w:right w:val="single" w:sz="4" w:space="0" w:color="auto"/>
            </w:tcBorders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541" w:type="dxa"/>
            <w:gridSpan w:val="2"/>
            <w:tcBorders>
              <w:left w:val="single" w:sz="4" w:space="0" w:color="auto"/>
            </w:tcBorders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</w:tcBorders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6216BD" w:rsidRPr="0086312B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6216BD" w:rsidRPr="0086312B" w:rsidTr="00433F38">
        <w:tc>
          <w:tcPr>
            <w:tcW w:w="5495" w:type="dxa"/>
            <w:gridSpan w:val="2"/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>
              <w:rPr>
                <w:rFonts w:ascii="Arial" w:hAnsi="Arial" w:cs="Arial"/>
                <w:bCs/>
              </w:rPr>
              <w:t xml:space="preserve">  20504</w:t>
            </w:r>
          </w:p>
          <w:p w:rsidR="006216BD" w:rsidRPr="0086312B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6216BD" w:rsidRPr="0086312B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</w:p>
        </w:tc>
      </w:tr>
      <w:tr w:rsidR="006216BD" w:rsidRPr="0086312B" w:rsidTr="00433F38">
        <w:tc>
          <w:tcPr>
            <w:tcW w:w="4503" w:type="dxa"/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6216BD" w:rsidRDefault="006216BD" w:rsidP="00B15CB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  <w:r w:rsidR="00B15CB3">
              <w:rPr>
                <w:rFonts w:ascii="Arial" w:hAnsi="Arial" w:cs="Arial"/>
                <w:b/>
                <w:color w:val="0F243E" w:themeColor="text2" w:themeShade="80"/>
              </w:rPr>
              <w:t xml:space="preserve"> 2015-2</w:t>
            </w:r>
          </w:p>
        </w:tc>
      </w:tr>
    </w:tbl>
    <w:p w:rsidR="006216BD" w:rsidRPr="0086312B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6216BD" w:rsidRPr="0086312B" w:rsidTr="00433F38">
        <w:tc>
          <w:tcPr>
            <w:tcW w:w="9606" w:type="dxa"/>
            <w:gridSpan w:val="3"/>
            <w:shd w:val="clear" w:color="auto" w:fill="365F91" w:themeFill="accent1" w:themeFillShade="BF"/>
          </w:tcPr>
          <w:p w:rsidR="006216BD" w:rsidRPr="0086312B" w:rsidRDefault="006216BD" w:rsidP="00433F38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6216BD" w:rsidRPr="002D3F0D" w:rsidTr="00433F38">
        <w:tc>
          <w:tcPr>
            <w:tcW w:w="2943" w:type="dxa"/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B15CB3">
              <w:rPr>
                <w:rFonts w:ascii="Arial" w:hAnsi="Arial" w:cs="Arial"/>
                <w:color w:val="0F243E" w:themeColor="text2" w:themeShade="80"/>
              </w:rPr>
              <w:t xml:space="preserve">  </w:t>
            </w:r>
            <w:r>
              <w:rPr>
                <w:rFonts w:ascii="Arial" w:hAnsi="Arial" w:cs="Arial"/>
                <w:color w:val="0F243E" w:themeColor="text2" w:themeShade="80"/>
              </w:rPr>
              <w:t>5</w:t>
            </w:r>
          </w:p>
        </w:tc>
        <w:tc>
          <w:tcPr>
            <w:tcW w:w="2835" w:type="dxa"/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20 </w:t>
            </w:r>
          </w:p>
        </w:tc>
        <w:tc>
          <w:tcPr>
            <w:tcW w:w="3828" w:type="dxa"/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6216BD" w:rsidRPr="002D3F0D" w:rsidTr="00433F38">
        <w:tc>
          <w:tcPr>
            <w:tcW w:w="2943" w:type="dxa"/>
          </w:tcPr>
          <w:p w:rsidR="006216BD" w:rsidRPr="002D3F0D" w:rsidRDefault="006216BD" w:rsidP="00B15CB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B15CB3">
              <w:rPr>
                <w:rFonts w:ascii="Arial" w:hAnsi="Arial" w:cs="Arial"/>
                <w:color w:val="0F243E" w:themeColor="text2" w:themeShade="80"/>
              </w:rPr>
              <w:t>3</w:t>
            </w:r>
          </w:p>
        </w:tc>
        <w:tc>
          <w:tcPr>
            <w:tcW w:w="2835" w:type="dxa"/>
          </w:tcPr>
          <w:p w:rsidR="006216BD" w:rsidRPr="002D3F0D" w:rsidRDefault="006216BD" w:rsidP="00B15CB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</w:t>
            </w:r>
            <w:r w:rsidR="00B15CB3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828" w:type="dxa"/>
          </w:tcPr>
          <w:p w:rsidR="006216BD" w:rsidRPr="002D3F0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>
              <w:rPr>
                <w:rFonts w:ascii="Arial" w:hAnsi="Arial" w:cs="Arial"/>
                <w:color w:val="0F243E" w:themeColor="text2" w:themeShade="80"/>
              </w:rPr>
              <w:t>80</w:t>
            </w:r>
          </w:p>
        </w:tc>
      </w:tr>
    </w:tbl>
    <w:p w:rsidR="006216BD" w:rsidRPr="002D3F0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3"/>
        <w:gridCol w:w="2665"/>
        <w:gridCol w:w="3506"/>
      </w:tblGrid>
      <w:tr w:rsidR="006216BD" w:rsidTr="00B15CB3">
        <w:tc>
          <w:tcPr>
            <w:tcW w:w="9054" w:type="dxa"/>
            <w:gridSpan w:val="3"/>
            <w:shd w:val="clear" w:color="auto" w:fill="365F91" w:themeFill="accent1" w:themeFillShade="BF"/>
          </w:tcPr>
          <w:p w:rsidR="006216BD" w:rsidRPr="002D3F0D" w:rsidRDefault="006216BD" w:rsidP="00433F38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6216BD" w:rsidTr="00B15CB3">
        <w:tc>
          <w:tcPr>
            <w:tcW w:w="2883" w:type="dxa"/>
            <w:tcBorders>
              <w:right w:val="sing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 10</w:t>
            </w:r>
          </w:p>
        </w:tc>
        <w:tc>
          <w:tcPr>
            <w:tcW w:w="2665" w:type="dxa"/>
            <w:tcBorders>
              <w:right w:val="sing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 40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Semestre:160</w:t>
            </w:r>
          </w:p>
        </w:tc>
      </w:tr>
      <w:tr w:rsidR="006216BD" w:rsidTr="00B15CB3">
        <w:tc>
          <w:tcPr>
            <w:tcW w:w="5548" w:type="dxa"/>
            <w:gridSpan w:val="2"/>
            <w:tcBorders>
              <w:right w:val="sing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Total de Tiempo de Trabajo Académico 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 16</w:t>
            </w: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6216BD" w:rsidTr="00433F38">
        <w:tc>
          <w:tcPr>
            <w:tcW w:w="1384" w:type="dxa"/>
            <w:tcBorders>
              <w:right w:val="doub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       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Nocturna      </w:t>
            </w:r>
            <w:r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p w:rsidR="006216BD" w:rsidRPr="0086312B" w:rsidRDefault="006216BD" w:rsidP="006216BD">
      <w:pPr>
        <w:rPr>
          <w:rFonts w:ascii="Arial" w:hAnsi="Arial" w:cs="Arial"/>
          <w:color w:val="0F243E" w:themeColor="text2" w:themeShade="80"/>
        </w:rPr>
      </w:pPr>
    </w:p>
    <w:p w:rsidR="006216BD" w:rsidRPr="0086312B" w:rsidRDefault="006216BD" w:rsidP="006216BD">
      <w:pPr>
        <w:rPr>
          <w:rFonts w:ascii="Arial" w:hAnsi="Arial" w:cs="Arial"/>
          <w:b/>
          <w:i/>
          <w:color w:val="0F243E" w:themeColor="text2" w:themeShade="80"/>
        </w:rPr>
      </w:pPr>
    </w:p>
    <w:p w:rsidR="006216BD" w:rsidRPr="0086312B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054" w:type="dxa"/>
            <w:shd w:val="clear" w:color="auto" w:fill="365F91" w:themeFill="accent1" w:themeFillShade="BF"/>
          </w:tcPr>
          <w:p w:rsidR="006216BD" w:rsidRPr="008618E3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lastRenderedPageBreak/>
              <w:t>JUSTIFICACIÓN:</w:t>
            </w:r>
          </w:p>
        </w:tc>
      </w:tr>
      <w:tr w:rsidR="006216BD" w:rsidTr="00433F38">
        <w:tc>
          <w:tcPr>
            <w:tcW w:w="9054" w:type="dxa"/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216BD" w:rsidRPr="00595BE1" w:rsidRDefault="004367DA" w:rsidP="004367DA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estudio del derecho procesal civil </w:t>
            </w:r>
            <w:r w:rsidR="006216BD">
              <w:rPr>
                <w:rFonts w:ascii="Arial" w:hAnsi="Arial" w:cs="Arial"/>
              </w:rPr>
              <w:t xml:space="preserve">se justifica en la medida de que </w:t>
            </w:r>
            <w:r>
              <w:rPr>
                <w:rFonts w:ascii="Arial" w:hAnsi="Arial" w:cs="Arial"/>
              </w:rPr>
              <w:t>al ser considerado el derecho civil como la madre del derecho en general su procedimiento resulta de vital importancia dentro del proceso formativo del jurista.</w:t>
            </w:r>
            <w:r w:rsidR="00595BE1">
              <w:rPr>
                <w:rFonts w:ascii="Arial" w:hAnsi="Arial" w:cs="Arial"/>
              </w:rPr>
              <w:t xml:space="preserve"> Asimismo en el ejercicio del derecho </w:t>
            </w:r>
            <w:r w:rsidR="00034E14">
              <w:rPr>
                <w:rFonts w:ascii="Arial" w:hAnsi="Arial" w:cs="Arial"/>
              </w:rPr>
              <w:t>los procesos civiles ocupan gran parte del que hacer del ab</w:t>
            </w:r>
            <w:r w:rsidR="00E11622">
              <w:rPr>
                <w:rFonts w:ascii="Arial" w:hAnsi="Arial" w:cs="Arial"/>
              </w:rPr>
              <w:t xml:space="preserve">ogado, razón por la cual aprender </w:t>
            </w:r>
            <w:r w:rsidR="00034E14">
              <w:rPr>
                <w:rFonts w:ascii="Arial" w:hAnsi="Arial" w:cs="Arial"/>
              </w:rPr>
              <w:t>las generalidades</w:t>
            </w:r>
            <w:r w:rsidR="00E11622">
              <w:rPr>
                <w:rFonts w:ascii="Arial" w:hAnsi="Arial" w:cs="Arial"/>
              </w:rPr>
              <w:t xml:space="preserve"> y especificidades de los mismos es fundamental para el futuro abogado y su desenvolvimiento en el ámbito laboral.  </w:t>
            </w:r>
            <w:r w:rsidR="00034E14">
              <w:rPr>
                <w:rFonts w:ascii="Arial" w:hAnsi="Arial" w:cs="Arial"/>
              </w:rPr>
              <w:t xml:space="preserve"> </w:t>
            </w: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216BD" w:rsidRDefault="006216BD" w:rsidP="00433F38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Colaborar en la estructuración del conocimiento del jurista en formación a través del aprendizaje de los diferentes procesos</w:t>
            </w:r>
            <w:r w:rsidR="007C6693">
              <w:rPr>
                <w:rFonts w:ascii="Arial" w:hAnsi="Arial" w:cs="Arial"/>
                <w:shd w:val="clear" w:color="auto" w:fill="FFFFFF"/>
              </w:rPr>
              <w:t xml:space="preserve"> establecidos en el procedimiento civil colombiano, régimen de notificaciones, recursos y principios</w:t>
            </w:r>
            <w:r>
              <w:rPr>
                <w:rFonts w:ascii="Arial" w:hAnsi="Arial" w:cs="Arial"/>
                <w:shd w:val="clear" w:color="auto" w:fill="FFFFFF"/>
              </w:rPr>
              <w:t xml:space="preserve">. </w:t>
            </w:r>
          </w:p>
          <w:p w:rsidR="006216BD" w:rsidRDefault="006216BD" w:rsidP="007C669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Propiciar en el jurista en formación el aprendizaje de la normatividad </w:t>
            </w:r>
            <w:r w:rsidR="00297F03">
              <w:rPr>
                <w:rFonts w:ascii="Arial" w:hAnsi="Arial" w:cs="Arial"/>
              </w:rPr>
              <w:t>establecida en el Código de Procedimiento Civil y en el Código General del Proceso</w:t>
            </w:r>
            <w:r>
              <w:rPr>
                <w:rFonts w:ascii="Arial" w:hAnsi="Arial" w:cs="Arial"/>
              </w:rPr>
              <w:t>.</w:t>
            </w:r>
          </w:p>
          <w:p w:rsidR="006216BD" w:rsidRDefault="006216BD" w:rsidP="00433F38">
            <w:pPr>
              <w:rPr>
                <w:rFonts w:ascii="Arial" w:hAnsi="Arial" w:cs="Arial"/>
              </w:rPr>
            </w:pPr>
          </w:p>
          <w:p w:rsidR="006216BD" w:rsidRDefault="006216BD" w:rsidP="00433F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Facilitar la aprehensión de los conceptos relativos a</w:t>
            </w:r>
            <w:r w:rsidR="008C16E6">
              <w:rPr>
                <w:rFonts w:ascii="Arial" w:hAnsi="Arial" w:cs="Arial"/>
              </w:rPr>
              <w:t xml:space="preserve"> la parte general y especial del derecho procesal civil colombiano</w:t>
            </w:r>
            <w:r>
              <w:rPr>
                <w:rFonts w:ascii="Arial" w:hAnsi="Arial" w:cs="Arial"/>
              </w:rPr>
              <w:t xml:space="preserve">. </w:t>
            </w:r>
          </w:p>
          <w:p w:rsidR="006216BD" w:rsidRDefault="006216BD" w:rsidP="00433F38">
            <w:pPr>
              <w:rPr>
                <w:rFonts w:ascii="Arial" w:hAnsi="Arial" w:cs="Arial"/>
              </w:rPr>
            </w:pPr>
          </w:p>
          <w:p w:rsidR="006216BD" w:rsidRDefault="006216BD" w:rsidP="00433F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Profundi</w:t>
            </w:r>
            <w:r w:rsidR="003152C0">
              <w:rPr>
                <w:rFonts w:ascii="Arial" w:hAnsi="Arial" w:cs="Arial"/>
              </w:rPr>
              <w:t>zar en el estudio de las innovaciones que trae el Código General del Proceso</w:t>
            </w:r>
            <w:r>
              <w:rPr>
                <w:rFonts w:ascii="Arial" w:hAnsi="Arial" w:cs="Arial"/>
              </w:rPr>
              <w:t xml:space="preserve">. </w:t>
            </w:r>
          </w:p>
          <w:p w:rsidR="006216BD" w:rsidRDefault="006216BD" w:rsidP="00433F38">
            <w:pPr>
              <w:rPr>
                <w:rFonts w:ascii="Arial" w:hAnsi="Arial" w:cs="Arial"/>
              </w:rPr>
            </w:pPr>
          </w:p>
          <w:p w:rsidR="006216BD" w:rsidRDefault="006216BD" w:rsidP="00433F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Posibilitar la adquisición del conocimiento</w:t>
            </w:r>
            <w:r w:rsidR="003152C0">
              <w:rPr>
                <w:rFonts w:ascii="Arial" w:hAnsi="Arial" w:cs="Arial"/>
              </w:rPr>
              <w:t xml:space="preserve"> de los distintos tipos de notificaciones, recursos y </w:t>
            </w:r>
            <w:r w:rsidR="00E53770">
              <w:rPr>
                <w:rFonts w:ascii="Arial" w:hAnsi="Arial" w:cs="Arial"/>
              </w:rPr>
              <w:t>tercerías</w:t>
            </w:r>
            <w:r>
              <w:rPr>
                <w:rFonts w:ascii="Arial" w:hAnsi="Arial" w:cs="Arial"/>
              </w:rPr>
              <w:t xml:space="preserve">.   </w:t>
            </w: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Entender y  d</w:t>
            </w:r>
            <w:r w:rsidR="0057396E">
              <w:rPr>
                <w:rFonts w:ascii="Arial" w:hAnsi="Arial" w:cs="Arial"/>
                <w:color w:val="0F243E" w:themeColor="text2" w:themeShade="80"/>
              </w:rPr>
              <w:t xml:space="preserve">iferenciar los procesos </w:t>
            </w:r>
            <w:r w:rsidR="008C16E6">
              <w:rPr>
                <w:rFonts w:ascii="Arial" w:hAnsi="Arial" w:cs="Arial"/>
                <w:color w:val="0F243E" w:themeColor="text2" w:themeShade="80"/>
              </w:rPr>
              <w:t>civiles</w:t>
            </w:r>
            <w:r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Est</w:t>
            </w:r>
            <w:r w:rsidR="008C16E6">
              <w:rPr>
                <w:rFonts w:ascii="Arial" w:hAnsi="Arial" w:cs="Arial"/>
                <w:color w:val="0F243E" w:themeColor="text2" w:themeShade="80"/>
              </w:rPr>
              <w:t>ablecer las fuentes del derecho procesal civil colombiano</w:t>
            </w:r>
            <w:r>
              <w:rPr>
                <w:rFonts w:ascii="Arial" w:hAnsi="Arial" w:cs="Arial"/>
                <w:color w:val="0F243E" w:themeColor="text2" w:themeShade="80"/>
              </w:rPr>
              <w:t>, su evolución y rasgos definitorios.</w:t>
            </w: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216BD" w:rsidRDefault="00E53770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Determinar</w:t>
            </w:r>
            <w:r w:rsidR="008B7AA4">
              <w:rPr>
                <w:rFonts w:ascii="Arial" w:hAnsi="Arial" w:cs="Arial"/>
                <w:color w:val="0F243E" w:themeColor="text2" w:themeShade="80"/>
              </w:rPr>
              <w:t xml:space="preserve"> el impacto que el cambio de legislación puede llegar a generar en el procedimiento y concepción de los diversos procesos civiles</w:t>
            </w:r>
            <w:r w:rsidR="006216BD">
              <w:rPr>
                <w:rFonts w:ascii="Arial" w:hAnsi="Arial" w:cs="Arial"/>
                <w:color w:val="0F243E" w:themeColor="text2" w:themeShade="80"/>
              </w:rPr>
              <w:t xml:space="preserve">. </w:t>
            </w: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77595B" w:rsidRDefault="0077595B" w:rsidP="0077595B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  <w:r w:rsidRPr="008A7AE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Comprensión de lectura, análisis de textos, redacción de documentos.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 xml:space="preserve">Estudio de textos legales, jurisprudenciales y doctrinarios que versen </w:t>
            </w:r>
            <w:r w:rsidR="00777057"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sobre derecho procesal civil colombiano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.</w:t>
            </w:r>
          </w:p>
          <w:p w:rsidR="0077595B" w:rsidRDefault="0077595B" w:rsidP="0077595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is: </w:t>
            </w:r>
            <w:r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 xml:space="preserve">Aplicación de textos legales, jurisprudenciales y doctrinarios en la elaboración de demandas de procesos de pertenencia y demás procesos </w:t>
            </w:r>
            <w:r w:rsidR="0077705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civiles</w:t>
            </w:r>
            <w:r w:rsidR="00EE472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 Asimismo elaboración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de críticas y resúmenes </w:t>
            </w:r>
            <w:r w:rsidR="00777057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referentes al código general del proceso. </w:t>
            </w:r>
          </w:p>
          <w:p w:rsidR="006216BD" w:rsidRDefault="006216BD" w:rsidP="0077595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 CIVIL, DERECHO PROCESAL CIVIL, DERECHO CONSTITUCIONAL.</w:t>
            </w: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6216BD" w:rsidTr="00433F38">
        <w:trPr>
          <w:trHeight w:val="417"/>
        </w:trPr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216BD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  <w:r w:rsidRPr="00230B70">
              <w:rPr>
                <w:rFonts w:ascii="Arial" w:hAnsi="Arial" w:cs="Arial"/>
                <w:b/>
                <w:bCs/>
                <w:lang w:val="es-CO"/>
              </w:rPr>
              <w:t>CAPITUL</w:t>
            </w:r>
            <w:r w:rsidR="00B779A7">
              <w:rPr>
                <w:rFonts w:ascii="Arial" w:hAnsi="Arial" w:cs="Arial"/>
                <w:b/>
                <w:bCs/>
                <w:lang w:val="es-CO"/>
              </w:rPr>
              <w:t>O I: FUENTES, PRINCIPIOS E HISTORIA DEL DERECHO PROCESAL CIVIL COLOMBIANO</w:t>
            </w: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</w:p>
          <w:p w:rsidR="008F2531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 w:rsidRPr="00230B70">
              <w:rPr>
                <w:rFonts w:ascii="Arial" w:hAnsi="Arial" w:cs="Arial"/>
                <w:bCs/>
                <w:lang w:val="es-CO"/>
              </w:rPr>
              <w:t xml:space="preserve">1. </w:t>
            </w:r>
            <w:r w:rsidR="00B779A7">
              <w:rPr>
                <w:rFonts w:ascii="Arial" w:hAnsi="Arial" w:cs="Arial"/>
                <w:bCs/>
                <w:lang w:val="es-CO"/>
              </w:rPr>
              <w:t>ANTECEDENTES HISTÓRICO</w:t>
            </w:r>
            <w:r w:rsidR="008F2531">
              <w:rPr>
                <w:rFonts w:ascii="Arial" w:hAnsi="Arial" w:cs="Arial"/>
                <w:bCs/>
                <w:lang w:val="es-CO"/>
              </w:rPr>
              <w:t xml:space="preserve">S EN EL DERECHO PROCESAL CIVIL COLOMBIANO </w:t>
            </w:r>
          </w:p>
          <w:p w:rsidR="008F2531" w:rsidRDefault="00B779A7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 xml:space="preserve">2. </w:t>
            </w:r>
            <w:r w:rsidR="00D1040C">
              <w:rPr>
                <w:rFonts w:ascii="Arial" w:hAnsi="Arial" w:cs="Arial"/>
                <w:bCs/>
                <w:lang w:val="es-CO"/>
              </w:rPr>
              <w:t xml:space="preserve">CLASIFICACIÓN DE LAS FUENTES. </w:t>
            </w:r>
          </w:p>
          <w:p w:rsidR="006216BD" w:rsidRPr="00230B70" w:rsidRDefault="008F253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3</w:t>
            </w:r>
            <w:r w:rsidR="00D1040C">
              <w:rPr>
                <w:rFonts w:ascii="Arial" w:hAnsi="Arial" w:cs="Arial"/>
                <w:bCs/>
                <w:lang w:val="es-CO"/>
              </w:rPr>
              <w:t xml:space="preserve">. </w:t>
            </w:r>
            <w:r w:rsidR="00B779A7">
              <w:rPr>
                <w:rFonts w:ascii="Arial" w:hAnsi="Arial" w:cs="Arial"/>
                <w:bCs/>
                <w:lang w:val="es-CO"/>
              </w:rPr>
              <w:t>PRINCIPIO DE INMEDIACIÓN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D1040C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4</w:t>
            </w:r>
            <w:r w:rsidR="00B779A7">
              <w:rPr>
                <w:rFonts w:ascii="Arial" w:hAnsi="Arial" w:cs="Arial"/>
                <w:bCs/>
                <w:lang w:val="es-CO"/>
              </w:rPr>
              <w:t>. P</w:t>
            </w:r>
            <w:r w:rsidR="008F2531">
              <w:rPr>
                <w:rFonts w:ascii="Arial" w:hAnsi="Arial" w:cs="Arial"/>
                <w:bCs/>
                <w:lang w:val="es-CO"/>
              </w:rPr>
              <w:t>RINCIPIO DE PUBLICIDAD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D1040C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5. PRINCIPIO DE IGUALDAD PROCESAL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D1040C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6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  <w:r>
              <w:rPr>
                <w:rFonts w:ascii="Arial" w:hAnsi="Arial" w:cs="Arial"/>
                <w:bCs/>
                <w:lang w:val="es-CO"/>
              </w:rPr>
              <w:t xml:space="preserve"> PRINCIPIO DE LIBRE APRECIACIÓN DE LA PRUEBA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D1040C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7. PRINCIPIO DE ECONOMÍA PROCESAL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</w:p>
          <w:p w:rsidR="006216BD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  <w:r w:rsidRPr="00230B70">
              <w:rPr>
                <w:rFonts w:ascii="Arial" w:hAnsi="Arial" w:cs="Arial"/>
                <w:b/>
                <w:bCs/>
                <w:lang w:val="es-CO"/>
              </w:rPr>
              <w:t>CAPIT</w:t>
            </w:r>
            <w:r w:rsidR="00D1040C">
              <w:rPr>
                <w:rFonts w:ascii="Arial" w:hAnsi="Arial" w:cs="Arial"/>
                <w:b/>
                <w:bCs/>
                <w:lang w:val="es-CO"/>
              </w:rPr>
              <w:t xml:space="preserve">ULO II: JURISDICCIÓN Y COMPETENCIA </w:t>
            </w: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</w:p>
          <w:p w:rsidR="006216BD" w:rsidRPr="00230B70" w:rsidRDefault="00D1040C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 xml:space="preserve">1. COMPETENCIA DE LOS JUECES MUNICIPALES.  </w:t>
            </w:r>
          </w:p>
          <w:p w:rsidR="006216BD" w:rsidRPr="00230B70" w:rsidRDefault="00D1040C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 xml:space="preserve">2. COMPETENCIA </w:t>
            </w:r>
            <w:r w:rsidR="00252F14">
              <w:rPr>
                <w:rFonts w:ascii="Arial" w:hAnsi="Arial" w:cs="Arial"/>
                <w:bCs/>
                <w:lang w:val="es-CO"/>
              </w:rPr>
              <w:t xml:space="preserve">DE LOS JUECES DEL CIRCUITO. </w:t>
            </w:r>
          </w:p>
          <w:p w:rsidR="006216BD" w:rsidRDefault="00252F14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3.</w:t>
            </w:r>
            <w:r w:rsidR="00EE37D0">
              <w:rPr>
                <w:rFonts w:ascii="Arial" w:hAnsi="Arial" w:cs="Arial"/>
                <w:bCs/>
                <w:lang w:val="es-CO"/>
              </w:rPr>
              <w:t xml:space="preserve"> COMPETENCIA FUNCIONAL: TRIBUNALES SUPERIORES DE DISTRITO JUDICIAL Y </w:t>
            </w:r>
            <w:r w:rsidR="0086194E">
              <w:rPr>
                <w:rFonts w:ascii="Arial" w:hAnsi="Arial" w:cs="Arial"/>
                <w:bCs/>
                <w:lang w:val="es-CO"/>
              </w:rPr>
              <w:t>SALA DE CASACIÓN CIVIL DE LA CORTE SUPREMA DE JUSTICIA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307351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4. COMPETENCIA DE LOS JUECES DE FAMILIA.</w:t>
            </w: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5</w:t>
            </w:r>
            <w:r w:rsidR="0086194E">
              <w:rPr>
                <w:rFonts w:ascii="Arial" w:hAnsi="Arial" w:cs="Arial"/>
                <w:bCs/>
                <w:lang w:val="es-CO"/>
              </w:rPr>
              <w:t>. CONFLICTO DE COMPETENCIA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6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  <w:r w:rsidR="0086194E">
              <w:rPr>
                <w:rFonts w:ascii="Arial" w:hAnsi="Arial" w:cs="Arial"/>
                <w:bCs/>
                <w:lang w:val="es-CO"/>
              </w:rPr>
              <w:t xml:space="preserve"> </w:t>
            </w:r>
            <w:r w:rsidR="00403B60">
              <w:rPr>
                <w:rFonts w:ascii="Arial" w:hAnsi="Arial" w:cs="Arial"/>
                <w:bCs/>
                <w:lang w:val="es-CO"/>
              </w:rPr>
              <w:t>COMISIÓN.</w:t>
            </w:r>
          </w:p>
          <w:p w:rsidR="006216BD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7</w:t>
            </w:r>
            <w:r w:rsidR="00403B60">
              <w:rPr>
                <w:rFonts w:ascii="Arial" w:hAnsi="Arial" w:cs="Arial"/>
                <w:bCs/>
                <w:lang w:val="es-CO"/>
              </w:rPr>
              <w:t>. MINISTERIO PÚBLICO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</w:p>
          <w:p w:rsidR="006216BD" w:rsidRPr="00230B70" w:rsidRDefault="00403B60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  <w:r>
              <w:rPr>
                <w:rFonts w:ascii="Arial" w:hAnsi="Arial" w:cs="Arial"/>
                <w:b/>
                <w:bCs/>
                <w:lang w:val="es-CO"/>
              </w:rPr>
              <w:t>CAPITULO III: PARTES, REPRESENTANTES Y APODERADOS</w:t>
            </w:r>
          </w:p>
          <w:p w:rsidR="006216BD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</w:p>
          <w:p w:rsidR="006216BD" w:rsidRPr="00230B70" w:rsidRDefault="00403B60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1. CAPACIDAD PARA SER PARTE Y COMPARECER EN EL PROCESO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403B60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lastRenderedPageBreak/>
              <w:t>2. CURADOR AD-LITEM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403B60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 xml:space="preserve">3. </w:t>
            </w:r>
            <w:r w:rsidR="00182A9C">
              <w:rPr>
                <w:rFonts w:ascii="Arial" w:hAnsi="Arial" w:cs="Arial"/>
                <w:bCs/>
                <w:lang w:val="es-CO"/>
              </w:rPr>
              <w:t>AGENCIA OFICIOSA PROCESAL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 w:rsidRPr="00230B70">
              <w:rPr>
                <w:rFonts w:ascii="Arial" w:hAnsi="Arial" w:cs="Arial"/>
                <w:bCs/>
                <w:lang w:val="es-CO"/>
              </w:rPr>
              <w:t xml:space="preserve">4. </w:t>
            </w:r>
            <w:r w:rsidR="008E14C1">
              <w:rPr>
                <w:rFonts w:ascii="Arial" w:hAnsi="Arial" w:cs="Arial"/>
                <w:bCs/>
                <w:lang w:val="es-CO"/>
              </w:rPr>
              <w:t>LITISCONSORTES</w:t>
            </w:r>
            <w:r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8E14C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5. LLAMAMIENTO EN GARANTÍA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8E14C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6. SUCESIÓN PROCESAL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Default="009B1A62" w:rsidP="009B1A62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7. APODERADOS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</w:p>
          <w:p w:rsidR="006216BD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  <w:r w:rsidRPr="00230B70">
              <w:rPr>
                <w:rFonts w:ascii="Arial" w:hAnsi="Arial" w:cs="Arial"/>
                <w:b/>
                <w:bCs/>
                <w:lang w:val="es-CO"/>
              </w:rPr>
              <w:t xml:space="preserve">CAPITULO </w:t>
            </w:r>
            <w:r w:rsidR="009B1A62">
              <w:rPr>
                <w:rFonts w:ascii="Arial" w:hAnsi="Arial" w:cs="Arial"/>
                <w:b/>
                <w:bCs/>
                <w:lang w:val="es-CO"/>
              </w:rPr>
              <w:t xml:space="preserve">IV: </w:t>
            </w:r>
            <w:r w:rsidR="00A50067">
              <w:rPr>
                <w:rFonts w:ascii="Arial" w:hAnsi="Arial" w:cs="Arial"/>
                <w:b/>
                <w:bCs/>
                <w:lang w:val="es-CO"/>
              </w:rPr>
              <w:t>OBJETO DEL PROCESO</w:t>
            </w: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</w:p>
          <w:p w:rsidR="006216BD" w:rsidRPr="00230B70" w:rsidRDefault="00CB0760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1. DEMANDA Y POSIBLES ESCENARIOS QUE PUEDEN DARSE CON SU PRESENTACIÓN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CB0760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2. ACTUACIONES PROCESALES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3. INCIDENTES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4. NULIDADES PROCESALES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5. NOTIFICACIONES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6. RECURSOS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307351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7. REGIMEN PROBATORIO.</w:t>
            </w: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  <w:r w:rsidRPr="00230B70">
              <w:rPr>
                <w:rFonts w:ascii="Arial" w:hAnsi="Arial" w:cs="Arial"/>
                <w:b/>
                <w:bCs/>
                <w:lang w:val="es-CO"/>
              </w:rPr>
              <w:t>CAPITULO</w:t>
            </w:r>
            <w:r w:rsidR="00307351">
              <w:rPr>
                <w:rFonts w:ascii="Arial" w:hAnsi="Arial" w:cs="Arial"/>
                <w:b/>
                <w:bCs/>
                <w:lang w:val="es-CO"/>
              </w:rPr>
              <w:t xml:space="preserve"> V: PROCESOS CIVILES</w:t>
            </w:r>
          </w:p>
          <w:p w:rsidR="006216BD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lang w:val="es-CO"/>
              </w:rPr>
            </w:pP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1. PROCESO ORDINARIO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2. PROCESO VERBAL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6216BD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 w:rsidRPr="00230B70">
              <w:rPr>
                <w:rFonts w:ascii="Arial" w:hAnsi="Arial" w:cs="Arial"/>
                <w:bCs/>
                <w:lang w:val="es-CO"/>
              </w:rPr>
              <w:t>3.</w:t>
            </w:r>
            <w:r w:rsidR="00307351">
              <w:rPr>
                <w:rFonts w:ascii="Arial" w:hAnsi="Arial" w:cs="Arial"/>
                <w:bCs/>
                <w:lang w:val="es-CO"/>
              </w:rPr>
              <w:t xml:space="preserve"> PROCESO VERBAL SUMARIO</w:t>
            </w:r>
            <w:r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4. PROCESO EJECUTIVO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Pr="00230B70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5. PROCESO MONITORIO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>.</w:t>
            </w:r>
          </w:p>
          <w:p w:rsidR="006216BD" w:rsidRDefault="00307351" w:rsidP="00433F3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6. PROCESO DE PERTENENCIA – PRESCRIPCIÓN ADQUISITIVA DE DOMINIO</w:t>
            </w:r>
            <w:r w:rsidR="006216BD" w:rsidRPr="00230B70">
              <w:rPr>
                <w:rFonts w:ascii="Arial" w:hAnsi="Arial" w:cs="Arial"/>
                <w:bCs/>
                <w:lang w:val="es-CO"/>
              </w:rPr>
              <w:t xml:space="preserve">. </w:t>
            </w:r>
          </w:p>
          <w:p w:rsidR="006216BD" w:rsidRPr="00AE52C8" w:rsidRDefault="006216BD" w:rsidP="00307351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color w:val="0F243E" w:themeColor="text2" w:themeShade="80"/>
                <w:lang w:val="es-CO"/>
              </w:rPr>
            </w:pP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pStyle w:val="Prrafodelista"/>
              <w:numPr>
                <w:ilvl w:val="0"/>
                <w:numId w:val="41"/>
              </w:numPr>
              <w:ind w:left="284" w:hanging="284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Fuentes y criter</w:t>
            </w:r>
            <w:r w:rsidR="00307351">
              <w:rPr>
                <w:rFonts w:ascii="Arial" w:hAnsi="Arial" w:cs="Arial"/>
                <w:color w:val="0F243E" w:themeColor="text2" w:themeShade="80"/>
              </w:rPr>
              <w:t>ios rectores del derecho procesal civil colombiano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. </w:t>
            </w:r>
          </w:p>
          <w:p w:rsidR="006216BD" w:rsidRDefault="006216BD" w:rsidP="00433F38">
            <w:pPr>
              <w:pStyle w:val="Prrafodelista"/>
              <w:numPr>
                <w:ilvl w:val="0"/>
                <w:numId w:val="41"/>
              </w:numPr>
              <w:ind w:left="284" w:hanging="284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Evolución histórica</w:t>
            </w:r>
            <w:r w:rsidR="00307351">
              <w:rPr>
                <w:rFonts w:ascii="Arial" w:hAnsi="Arial" w:cs="Arial"/>
                <w:color w:val="0F243E" w:themeColor="text2" w:themeShade="80"/>
              </w:rPr>
              <w:t xml:space="preserve"> del derecho procesal civil colombiano</w:t>
            </w:r>
            <w:r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6216BD" w:rsidRDefault="00E95B73" w:rsidP="00433F38">
            <w:pPr>
              <w:pStyle w:val="Prrafodelista"/>
              <w:numPr>
                <w:ilvl w:val="0"/>
                <w:numId w:val="41"/>
              </w:numPr>
              <w:ind w:left="284" w:hanging="284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 demanda: Fuente de actuaciones de partes, representantes, litisconsortes, llamados en garantía</w:t>
            </w:r>
            <w:r w:rsidR="00EF771A">
              <w:rPr>
                <w:rFonts w:ascii="Arial" w:hAnsi="Arial" w:cs="Arial"/>
                <w:color w:val="0F243E" w:themeColor="text2" w:themeShade="80"/>
              </w:rPr>
              <w:t>,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notificaciones y recursos</w:t>
            </w:r>
            <w:r w:rsidR="006216BD">
              <w:rPr>
                <w:rFonts w:ascii="Arial" w:hAnsi="Arial" w:cs="Arial"/>
                <w:color w:val="0F243E" w:themeColor="text2" w:themeShade="80"/>
              </w:rPr>
              <w:t xml:space="preserve">. </w:t>
            </w:r>
          </w:p>
          <w:p w:rsidR="006216BD" w:rsidRPr="00E95B73" w:rsidRDefault="00F134EE" w:rsidP="00E95B73">
            <w:pPr>
              <w:pStyle w:val="Prrafodelista"/>
              <w:numPr>
                <w:ilvl w:val="0"/>
                <w:numId w:val="41"/>
              </w:numPr>
              <w:ind w:left="284" w:hanging="284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Trámite de los proceso</w:t>
            </w:r>
            <w:r w:rsidR="00BB0378">
              <w:rPr>
                <w:rFonts w:ascii="Arial" w:hAnsi="Arial" w:cs="Arial"/>
                <w:color w:val="0F243E" w:themeColor="text2" w:themeShade="80"/>
              </w:rPr>
              <w:t>s civiles</w:t>
            </w:r>
            <w:r w:rsidR="006216BD">
              <w:rPr>
                <w:rFonts w:ascii="Arial" w:hAnsi="Arial" w:cs="Arial"/>
                <w:color w:val="0F243E" w:themeColor="text2" w:themeShade="80"/>
              </w:rPr>
              <w:t>.</w:t>
            </w:r>
            <w:r w:rsidR="006216BD" w:rsidRPr="00E95B7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Se realizarán exposiciones magistrales sobre los temas propuestos, junto con una parte práctica que consistirá en </w:t>
            </w:r>
            <w:proofErr w:type="gramStart"/>
            <w:r>
              <w:rPr>
                <w:rFonts w:ascii="Arial" w:hAnsi="Arial" w:cs="Arial"/>
                <w:color w:val="0F243E" w:themeColor="text2" w:themeShade="80"/>
              </w:rPr>
              <w:t>la realización de lecturas y comentarios sobre las temáticas abordadas</w:t>
            </w:r>
            <w:proofErr w:type="gramEnd"/>
            <w:r>
              <w:rPr>
                <w:rFonts w:ascii="Arial" w:hAnsi="Arial" w:cs="Arial"/>
                <w:color w:val="0F243E" w:themeColor="text2" w:themeShade="80"/>
              </w:rPr>
              <w:t xml:space="preserve"> durante las exposiciones magistrales. </w:t>
            </w: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4A3921" w:rsidRDefault="006216BD" w:rsidP="00433F3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lastRenderedPageBreak/>
              <w:t>EVALUACIÓN:</w:t>
            </w: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Se realizarán evaluaciones escritas y orales, consistentes en el primer caso en talleres, elaboración de demandas, controles de lectura, etc. </w:t>
            </w: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6216BD" w:rsidRDefault="006216BD" w:rsidP="006216BD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216BD" w:rsidTr="00433F38">
        <w:tc>
          <w:tcPr>
            <w:tcW w:w="9740" w:type="dxa"/>
            <w:shd w:val="clear" w:color="auto" w:fill="365F91" w:themeFill="accent1" w:themeFillShade="BF"/>
          </w:tcPr>
          <w:p w:rsidR="006216BD" w:rsidRPr="00030862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6216BD" w:rsidTr="00433F38">
        <w:tc>
          <w:tcPr>
            <w:tcW w:w="9740" w:type="dxa"/>
          </w:tcPr>
          <w:p w:rsidR="006216BD" w:rsidRPr="007F40E6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6216BD" w:rsidRDefault="00CB0760" w:rsidP="00433F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s-ES_tradnl"/>
              </w:rPr>
            </w:pPr>
            <w:r>
              <w:rPr>
                <w:rFonts w:ascii="Arial" w:hAnsi="Arial" w:cs="Arial"/>
                <w:color w:val="000000"/>
                <w:lang w:val="es-ES_tradnl"/>
              </w:rPr>
              <w:t>López Blanco Hernán Fabio, Derecho Procesal Civil – Tomo I, Parte General</w:t>
            </w:r>
            <w:r w:rsidR="006216BD" w:rsidRPr="00BB0969">
              <w:rPr>
                <w:rFonts w:ascii="Arial" w:hAnsi="Arial" w:cs="Arial"/>
                <w:color w:val="000000"/>
                <w:lang w:val="es-ES_tradnl"/>
              </w:rPr>
              <w:t>.</w:t>
            </w:r>
          </w:p>
          <w:p w:rsidR="006216BD" w:rsidRDefault="006216BD" w:rsidP="00433F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s-ES_tradnl"/>
              </w:rPr>
            </w:pPr>
          </w:p>
          <w:p w:rsidR="00CB0760" w:rsidRDefault="00CB0760" w:rsidP="00CB07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s-ES_tradnl"/>
              </w:rPr>
            </w:pPr>
            <w:r>
              <w:rPr>
                <w:rFonts w:ascii="Arial" w:hAnsi="Arial" w:cs="Arial"/>
                <w:color w:val="000000"/>
                <w:lang w:val="es-ES_tradnl"/>
              </w:rPr>
              <w:t>López Blanco Hernán Fabio, Derecho Procesal Civil – Tomo II, Parte Especial, Procesos Civiles</w:t>
            </w:r>
            <w:r w:rsidR="006216BD" w:rsidRPr="00974FDA">
              <w:rPr>
                <w:rFonts w:ascii="Arial" w:hAnsi="Arial" w:cs="Arial"/>
                <w:bCs/>
                <w:color w:val="000000"/>
              </w:rPr>
              <w:t>.</w:t>
            </w:r>
            <w:r w:rsidR="006216BD" w:rsidRPr="00974FDA">
              <w:rPr>
                <w:rFonts w:ascii="Arial" w:hAnsi="Arial" w:cs="Arial"/>
                <w:color w:val="000000"/>
                <w:lang w:val="es-ES_tradnl"/>
              </w:rPr>
              <w:t xml:space="preserve"> </w:t>
            </w:r>
          </w:p>
          <w:p w:rsidR="00CB0760" w:rsidRDefault="00CB0760" w:rsidP="00CB07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s-ES_tradnl"/>
              </w:rPr>
            </w:pPr>
          </w:p>
          <w:p w:rsidR="00CB0760" w:rsidRDefault="00CB0760" w:rsidP="00CB07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s-ES_tradnl"/>
              </w:rPr>
            </w:pPr>
            <w:r>
              <w:rPr>
                <w:rFonts w:ascii="Arial" w:hAnsi="Arial" w:cs="Arial"/>
                <w:color w:val="000000"/>
                <w:lang w:val="es-ES_tradnl"/>
              </w:rPr>
              <w:t>Código de Procedimiento Civil.</w:t>
            </w:r>
          </w:p>
          <w:p w:rsidR="00CB0760" w:rsidRDefault="00CB0760" w:rsidP="00CB07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s-ES_tradnl"/>
              </w:rPr>
            </w:pPr>
          </w:p>
          <w:p w:rsidR="00CB0760" w:rsidRPr="00CB0760" w:rsidRDefault="00CB0760" w:rsidP="00CB07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s-ES_tradnl"/>
              </w:rPr>
            </w:pPr>
            <w:r>
              <w:rPr>
                <w:rFonts w:ascii="Arial" w:hAnsi="Arial" w:cs="Arial"/>
                <w:color w:val="000000"/>
                <w:lang w:val="es-ES_tradnl"/>
              </w:rPr>
              <w:t>Código General del Proceso.</w:t>
            </w:r>
          </w:p>
          <w:p w:rsidR="00CB0760" w:rsidRPr="005C1E5E" w:rsidRDefault="00CB0760" w:rsidP="00433F38">
            <w:pPr>
              <w:rPr>
                <w:rFonts w:ascii="Arial" w:hAnsi="Arial" w:cs="Arial"/>
                <w:b/>
                <w:color w:val="0F243E" w:themeColor="text2" w:themeShade="80"/>
                <w:lang w:val="es-ES_tradnl"/>
              </w:rPr>
            </w:pP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</w:p>
          <w:p w:rsidR="006216BD" w:rsidRPr="00C6539E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6216BD" w:rsidRPr="00C6539E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6216BD" w:rsidTr="00433F38">
        <w:tc>
          <w:tcPr>
            <w:tcW w:w="9740" w:type="dxa"/>
          </w:tcPr>
          <w:p w:rsidR="006216BD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6216BD" w:rsidRPr="00C6539E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6216BD" w:rsidTr="00433F38">
        <w:tc>
          <w:tcPr>
            <w:tcW w:w="9740" w:type="dxa"/>
          </w:tcPr>
          <w:p w:rsidR="006216BD" w:rsidRPr="00C6539E" w:rsidRDefault="006216BD" w:rsidP="00433F3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6216BD" w:rsidRDefault="006216BD" w:rsidP="00433F38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6216BD" w:rsidRPr="009D3B04" w:rsidRDefault="006216BD" w:rsidP="009D3B04"/>
    <w:sectPr w:rsidR="006216BD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26F" w:rsidRDefault="00DD726F">
      <w:r>
        <w:separator/>
      </w:r>
    </w:p>
  </w:endnote>
  <w:endnote w:type="continuationSeparator" w:id="0">
    <w:p w:rsidR="00DD726F" w:rsidRDefault="00DD7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0C0F8D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551815</wp:posOffset>
              </wp:positionH>
              <wp:positionV relativeFrom="paragraph">
                <wp:posOffset>-320040</wp:posOffset>
              </wp:positionV>
              <wp:extent cx="4004310" cy="83566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56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DD726F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DD726F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.45pt;margin-top:-25.2pt;width:315.3pt;height:65.8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tWCEQIAAPsDAAAOAAAAZHJzL2Uyb0RvYy54bWysU9tuGyEQfa/Uf0C817u+Jll5HaVOXVVK&#10;L1LSD8DAelGBoYC96359BtZxrOat6j4g2Jk5M+dwWN72RpOD9EGBrel4VFIiLQeh7K6mP582H64p&#10;CZFZwTRYWdOjDPR29f7dsnOVnEALWkhPEMSGqnM1bWN0VVEE3krDwgictBhswBsW8eh3hfCsQ3Sj&#10;i0lZLooOvHAeuAwB/94PQbrK+E0jefzeNEFGomuKs8W8+rxu01qslqzaeeZaxU9jsH+YwjBlsekZ&#10;6p5FRvZevYEyinsI0MQRB1NA0yguMwdkMy7/YvPYMiczFxQnuLNM4f/B8m+HH54oUdNpeUWJZQYv&#10;ab1nwgMRkkTZRyCTJFPnQoXZjw7zY/8RerzuTDm4B+C/ArGwbpndyTvvoWslEzjmOFUWF6UDTkgg&#10;2+4rCOzG9hEyUN94kzREVQii43Udz1eEcxCOP2dlOZuOMcQxdj2dLxb5DgtWvVQ7H+JnCYakTU09&#10;WiCjs8NDiGkaVr2kpGYWNkrrbANtSVfTm/lkngsuIkZFdKlWBnuW6Rt8k0h+siIXR6b0sMcG2p5Y&#10;J6ID5dhve0xMUmxBHJG/h8GN+Hpw04L/Q0mHTqxp+L1nXlKiv1jU8GY8myXr5sNsfjXBg7+MbC8j&#10;zHKEqmmkZNiuY7Z74hrcHWq9UVmG10lOs6LDsjqn15AsfHnOWa9vdvUMAAD//wMAUEsDBBQABgAI&#10;AAAAIQD8SCd73wAAAAkBAAAPAAAAZHJzL2Rvd25yZXYueG1sTI/LTsMwEEX3SPyDNUjsWicRbUoa&#10;p6pQW5aUErF242kSET9ku2n4e4YVLEf36N4z5WbSAxvRh94aAek8AYamsao3rYD6Yz9bAQtRGiUH&#10;a1DANwbYVPd3pSyUvZl3HE+xZVRiQiEFdDG6gvPQdKhlmFuHhrKL9VpGOn3LlZc3KtcDz5JkybXs&#10;DS100uFLh83X6aoFuOgO+at/O253+zGpPw911rc7IR4fpu0aWMQp/sHwq0/qUJHT2V6NCmwQsFo+&#10;EylgtkiegBGQp/kC2JmSNANelfz/B9UPAAAA//8DAFBLAQItABQABgAIAAAAIQC2gziS/gAAAOEB&#10;AAATAAAAAAAAAAAAAAAAAAAAAABbQ29udGVudF9UeXBlc10ueG1sUEsBAi0AFAAGAAgAAAAhADj9&#10;If/WAAAAlAEAAAsAAAAAAAAAAAAAAAAALwEAAF9yZWxzLy5yZWxzUEsBAi0AFAAGAAgAAAAhAHbO&#10;1YIRAgAA+wMAAA4AAAAAAAAAAAAAAAAALgIAAGRycy9lMm9Eb2MueG1sUEsBAi0AFAAGAAgAAAAh&#10;APxIJ3vfAAAACQEAAA8AAAAAAAAAAAAAAAAAawQAAGRycy9kb3ducmV2LnhtbFBLBQYAAAAABAAE&#10;APMAAAB3BQAAAAA=&#10;" filled="f" stroked="f">
              <v:textbox style="mso-fit-shape-to-text:t">
                <w:txbxContent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1C2BC1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1C2BC1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26F" w:rsidRDefault="00DD726F">
      <w:r>
        <w:separator/>
      </w:r>
    </w:p>
  </w:footnote>
  <w:footnote w:type="continuationSeparator" w:id="0">
    <w:p w:rsidR="00DD726F" w:rsidRDefault="00DD7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DD726F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-1086486</wp:posOffset>
          </wp:positionH>
          <wp:positionV relativeFrom="paragraph">
            <wp:posOffset>-467826</wp:posOffset>
          </wp:positionV>
          <wp:extent cx="7784537" cy="10073744"/>
          <wp:effectExtent l="0" t="0" r="0" b="1016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s_v4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17" cy="100741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DD726F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A73DA"/>
    <w:multiLevelType w:val="hybridMultilevel"/>
    <w:tmpl w:val="9FF054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2"/>
  </w:num>
  <w:num w:numId="3">
    <w:abstractNumId w:val="29"/>
  </w:num>
  <w:num w:numId="4">
    <w:abstractNumId w:val="40"/>
  </w:num>
  <w:num w:numId="5">
    <w:abstractNumId w:val="33"/>
  </w:num>
  <w:num w:numId="6">
    <w:abstractNumId w:val="22"/>
  </w:num>
  <w:num w:numId="7">
    <w:abstractNumId w:val="37"/>
  </w:num>
  <w:num w:numId="8">
    <w:abstractNumId w:val="27"/>
  </w:num>
  <w:num w:numId="9">
    <w:abstractNumId w:val="4"/>
  </w:num>
  <w:num w:numId="10">
    <w:abstractNumId w:val="26"/>
  </w:num>
  <w:num w:numId="11">
    <w:abstractNumId w:val="12"/>
  </w:num>
  <w:num w:numId="12">
    <w:abstractNumId w:val="8"/>
  </w:num>
  <w:num w:numId="13">
    <w:abstractNumId w:val="38"/>
  </w:num>
  <w:num w:numId="14">
    <w:abstractNumId w:val="28"/>
  </w:num>
  <w:num w:numId="15">
    <w:abstractNumId w:val="6"/>
  </w:num>
  <w:num w:numId="16">
    <w:abstractNumId w:val="24"/>
  </w:num>
  <w:num w:numId="17">
    <w:abstractNumId w:val="21"/>
  </w:num>
  <w:num w:numId="18">
    <w:abstractNumId w:val="39"/>
  </w:num>
  <w:num w:numId="19">
    <w:abstractNumId w:val="35"/>
  </w:num>
  <w:num w:numId="20">
    <w:abstractNumId w:val="20"/>
  </w:num>
  <w:num w:numId="21">
    <w:abstractNumId w:val="34"/>
  </w:num>
  <w:num w:numId="22">
    <w:abstractNumId w:val="7"/>
  </w:num>
  <w:num w:numId="23">
    <w:abstractNumId w:val="19"/>
  </w:num>
  <w:num w:numId="24">
    <w:abstractNumId w:val="23"/>
  </w:num>
  <w:num w:numId="25">
    <w:abstractNumId w:val="18"/>
  </w:num>
  <w:num w:numId="26">
    <w:abstractNumId w:val="25"/>
  </w:num>
  <w:num w:numId="27">
    <w:abstractNumId w:val="1"/>
  </w:num>
  <w:num w:numId="28">
    <w:abstractNumId w:val="2"/>
  </w:num>
  <w:num w:numId="29">
    <w:abstractNumId w:val="10"/>
  </w:num>
  <w:num w:numId="30">
    <w:abstractNumId w:val="3"/>
  </w:num>
  <w:num w:numId="31">
    <w:abstractNumId w:val="31"/>
  </w:num>
  <w:num w:numId="32">
    <w:abstractNumId w:val="30"/>
  </w:num>
  <w:num w:numId="33">
    <w:abstractNumId w:val="13"/>
  </w:num>
  <w:num w:numId="34">
    <w:abstractNumId w:val="14"/>
  </w:num>
  <w:num w:numId="35">
    <w:abstractNumId w:val="0"/>
  </w:num>
  <w:num w:numId="36">
    <w:abstractNumId w:val="36"/>
  </w:num>
  <w:num w:numId="37">
    <w:abstractNumId w:val="15"/>
  </w:num>
  <w:num w:numId="38">
    <w:abstractNumId w:val="9"/>
  </w:num>
  <w:num w:numId="39">
    <w:abstractNumId w:val="11"/>
  </w:num>
  <w:num w:numId="40">
    <w:abstractNumId w:val="17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34E14"/>
    <w:rsid w:val="000755DC"/>
    <w:rsid w:val="00092E40"/>
    <w:rsid w:val="000B1973"/>
    <w:rsid w:val="000C0F8D"/>
    <w:rsid w:val="00102CDC"/>
    <w:rsid w:val="00102DBF"/>
    <w:rsid w:val="001045BF"/>
    <w:rsid w:val="00124ADA"/>
    <w:rsid w:val="00182A9C"/>
    <w:rsid w:val="001C2BC1"/>
    <w:rsid w:val="002328D7"/>
    <w:rsid w:val="00252F14"/>
    <w:rsid w:val="0029733A"/>
    <w:rsid w:val="00297F03"/>
    <w:rsid w:val="002B369D"/>
    <w:rsid w:val="00307351"/>
    <w:rsid w:val="003152C0"/>
    <w:rsid w:val="00340229"/>
    <w:rsid w:val="00350679"/>
    <w:rsid w:val="00373F2F"/>
    <w:rsid w:val="00403B60"/>
    <w:rsid w:val="004367DA"/>
    <w:rsid w:val="004F7813"/>
    <w:rsid w:val="005307D9"/>
    <w:rsid w:val="0057396E"/>
    <w:rsid w:val="00595BE1"/>
    <w:rsid w:val="00597A65"/>
    <w:rsid w:val="005C1E5E"/>
    <w:rsid w:val="005E54EC"/>
    <w:rsid w:val="006216BD"/>
    <w:rsid w:val="00661E2E"/>
    <w:rsid w:val="00663858"/>
    <w:rsid w:val="00687F6D"/>
    <w:rsid w:val="006A4C48"/>
    <w:rsid w:val="0077595B"/>
    <w:rsid w:val="00777057"/>
    <w:rsid w:val="007B7482"/>
    <w:rsid w:val="007C6693"/>
    <w:rsid w:val="00840A59"/>
    <w:rsid w:val="0086194E"/>
    <w:rsid w:val="008A7AE7"/>
    <w:rsid w:val="008B154F"/>
    <w:rsid w:val="008B7AA4"/>
    <w:rsid w:val="008C16E6"/>
    <w:rsid w:val="008E14C1"/>
    <w:rsid w:val="008F2531"/>
    <w:rsid w:val="009050BD"/>
    <w:rsid w:val="0091390A"/>
    <w:rsid w:val="009146DB"/>
    <w:rsid w:val="00952091"/>
    <w:rsid w:val="00952119"/>
    <w:rsid w:val="009B1A62"/>
    <w:rsid w:val="009D3B04"/>
    <w:rsid w:val="009F52DC"/>
    <w:rsid w:val="00A31D10"/>
    <w:rsid w:val="00A438AA"/>
    <w:rsid w:val="00A50067"/>
    <w:rsid w:val="00A724DB"/>
    <w:rsid w:val="00AE52C8"/>
    <w:rsid w:val="00B13523"/>
    <w:rsid w:val="00B15CB3"/>
    <w:rsid w:val="00B3659A"/>
    <w:rsid w:val="00B52DFF"/>
    <w:rsid w:val="00B779A7"/>
    <w:rsid w:val="00BB0013"/>
    <w:rsid w:val="00BB0378"/>
    <w:rsid w:val="00BD5EDD"/>
    <w:rsid w:val="00CB0760"/>
    <w:rsid w:val="00CC116E"/>
    <w:rsid w:val="00CE378F"/>
    <w:rsid w:val="00D1040C"/>
    <w:rsid w:val="00D5635A"/>
    <w:rsid w:val="00D86AD3"/>
    <w:rsid w:val="00DD230F"/>
    <w:rsid w:val="00DD2FD2"/>
    <w:rsid w:val="00DD726F"/>
    <w:rsid w:val="00DF1ED7"/>
    <w:rsid w:val="00E11622"/>
    <w:rsid w:val="00E21C9F"/>
    <w:rsid w:val="00E53770"/>
    <w:rsid w:val="00E95B73"/>
    <w:rsid w:val="00E978F2"/>
    <w:rsid w:val="00EE37D0"/>
    <w:rsid w:val="00EE4723"/>
    <w:rsid w:val="00EF031A"/>
    <w:rsid w:val="00EF771A"/>
    <w:rsid w:val="00F02BAA"/>
    <w:rsid w:val="00F05A15"/>
    <w:rsid w:val="00F134EE"/>
    <w:rsid w:val="00F26635"/>
    <w:rsid w:val="00F61DEF"/>
    <w:rsid w:val="00F92AC5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6905-7D11-4875-BECB-A0F03844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3</cp:revision>
  <dcterms:created xsi:type="dcterms:W3CDTF">2015-08-13T15:23:00Z</dcterms:created>
  <dcterms:modified xsi:type="dcterms:W3CDTF">2015-08-13T15:27:00Z</dcterms:modified>
</cp:coreProperties>
</file>